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90" w:rsidRDefault="007C7090">
      <w:pPr>
        <w:pStyle w:val="Title"/>
        <w:rPr>
          <w:rFonts w:ascii="Apple Chancery" w:hAnsi="Apple Chancery"/>
          <w:sz w:val="32"/>
        </w:rPr>
      </w:pPr>
      <w:r>
        <w:rPr>
          <w:rFonts w:ascii="Apple Chancery" w:hAnsi="Apple Chancery"/>
          <w:b w:val="0"/>
          <w:bCs w:val="0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-114300</wp:posOffset>
            </wp:positionV>
            <wp:extent cx="1485900" cy="1704975"/>
            <wp:effectExtent l="19050" t="0" r="0" b="0"/>
            <wp:wrapNone/>
            <wp:docPr id="1" name="Picture 2" descr="scan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82" r="65883" b="7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pple Chancery" w:hAnsi="Apple Chancery"/>
          <w:sz w:val="32"/>
        </w:rPr>
        <w:t>Montana Association</w:t>
      </w:r>
    </w:p>
    <w:p w:rsidR="007C7090" w:rsidRDefault="007C7090">
      <w:pPr>
        <w:pStyle w:val="Title"/>
        <w:rPr>
          <w:rFonts w:ascii="Apple Chancery" w:hAnsi="Apple Chancery"/>
          <w:sz w:val="32"/>
        </w:rPr>
      </w:pPr>
      <w:r>
        <w:rPr>
          <w:rFonts w:ascii="Apple Chancery" w:hAnsi="Apple Chancery"/>
          <w:sz w:val="32"/>
        </w:rPr>
        <w:t>Of</w:t>
      </w:r>
    </w:p>
    <w:p w:rsidR="007C7090" w:rsidRDefault="007C7090">
      <w:pPr>
        <w:pStyle w:val="Title"/>
        <w:rPr>
          <w:rFonts w:ascii="Apple Chancery" w:hAnsi="Apple Chancery"/>
          <w:sz w:val="32"/>
        </w:rPr>
      </w:pPr>
      <w:r>
        <w:rPr>
          <w:rFonts w:ascii="Apple Chancery" w:hAnsi="Apple Chancery"/>
          <w:sz w:val="32"/>
        </w:rPr>
        <w:t>Clerk and Recorders</w:t>
      </w:r>
    </w:p>
    <w:p w:rsidR="007C7F67" w:rsidRDefault="007C7090">
      <w:pPr>
        <w:jc w:val="center"/>
        <w:rPr>
          <w:rFonts w:ascii="Apple Chancery" w:hAnsi="Apple Chancery"/>
          <w:b/>
          <w:bCs/>
        </w:rPr>
      </w:pPr>
      <w:r>
        <w:rPr>
          <w:rFonts w:ascii="Apple Chancery" w:hAnsi="Apple Chancery"/>
          <w:b/>
          <w:bCs/>
        </w:rPr>
        <w:t>B</w:t>
      </w:r>
      <w:r w:rsidR="007C7F67">
        <w:rPr>
          <w:rFonts w:ascii="Apple Chancery" w:hAnsi="Apple Chancery"/>
          <w:b/>
          <w:bCs/>
        </w:rPr>
        <w:t>lanche McLure</w:t>
      </w:r>
      <w:r>
        <w:rPr>
          <w:rFonts w:ascii="Apple Chancery" w:hAnsi="Apple Chancery"/>
          <w:b/>
          <w:bCs/>
        </w:rPr>
        <w:t>, President</w:t>
      </w:r>
    </w:p>
    <w:p w:rsidR="007C7F67" w:rsidRDefault="007C7F67">
      <w:pPr>
        <w:jc w:val="center"/>
        <w:rPr>
          <w:rFonts w:ascii="Apple Chancery" w:hAnsi="Apple Chancery"/>
          <w:b/>
          <w:bCs/>
        </w:rPr>
      </w:pPr>
      <w:r>
        <w:rPr>
          <w:rFonts w:ascii="Apple Chancery" w:hAnsi="Apple Chancery"/>
          <w:b/>
          <w:bCs/>
        </w:rPr>
        <w:t>P.O. Box 925</w:t>
      </w:r>
    </w:p>
    <w:p w:rsidR="007C7F67" w:rsidRDefault="007C7F67">
      <w:pPr>
        <w:jc w:val="center"/>
        <w:rPr>
          <w:rFonts w:ascii="Apple Chancery" w:hAnsi="Apple Chancery"/>
          <w:b/>
          <w:bCs/>
        </w:rPr>
      </w:pPr>
      <w:r>
        <w:rPr>
          <w:rFonts w:ascii="Apple Chancery" w:hAnsi="Apple Chancery"/>
          <w:b/>
          <w:bCs/>
        </w:rPr>
        <w:t>Philipsburg, Montana 59858</w:t>
      </w:r>
    </w:p>
    <w:p w:rsidR="007C7F67" w:rsidRDefault="007C7F67">
      <w:pPr>
        <w:jc w:val="center"/>
        <w:rPr>
          <w:rFonts w:ascii="Apple Chancery" w:hAnsi="Apple Chancery"/>
          <w:b/>
          <w:bCs/>
        </w:rPr>
      </w:pPr>
      <w:r>
        <w:rPr>
          <w:rFonts w:ascii="Apple Chancery" w:hAnsi="Apple Chancery"/>
          <w:b/>
          <w:bCs/>
        </w:rPr>
        <w:t>graclerk@co.granite.mt.us</w:t>
      </w:r>
    </w:p>
    <w:p w:rsidR="007C7F67" w:rsidRDefault="007C7F67">
      <w:pPr>
        <w:jc w:val="center"/>
        <w:rPr>
          <w:rFonts w:ascii="Apple Chancery" w:hAnsi="Apple Chancery"/>
          <w:b/>
          <w:bCs/>
        </w:rPr>
      </w:pPr>
    </w:p>
    <w:p w:rsidR="007C7F67" w:rsidRDefault="007C7F67">
      <w:pPr>
        <w:jc w:val="center"/>
        <w:rPr>
          <w:rFonts w:ascii="Apple Chancery" w:hAnsi="Apple Chancery"/>
          <w:b/>
          <w:bCs/>
        </w:rPr>
      </w:pPr>
      <w:r>
        <w:rPr>
          <w:rFonts w:ascii="Apple Chancery" w:hAnsi="Apple Chancery"/>
          <w:b/>
          <w:bCs/>
        </w:rPr>
        <w:t>Phone: (406) 859-3771</w:t>
      </w:r>
      <w:r>
        <w:rPr>
          <w:rFonts w:ascii="Apple Chancery" w:hAnsi="Apple Chancery"/>
          <w:b/>
          <w:bCs/>
        </w:rPr>
        <w:tab/>
      </w:r>
      <w:r>
        <w:rPr>
          <w:rFonts w:ascii="Apple Chancery" w:hAnsi="Apple Chancery"/>
          <w:b/>
          <w:bCs/>
        </w:rPr>
        <w:tab/>
      </w:r>
      <w:r>
        <w:rPr>
          <w:rFonts w:ascii="Apple Chancery" w:hAnsi="Apple Chancery"/>
          <w:b/>
          <w:bCs/>
        </w:rPr>
        <w:tab/>
      </w:r>
      <w:r>
        <w:rPr>
          <w:rFonts w:ascii="Apple Chancery" w:hAnsi="Apple Chancery"/>
          <w:b/>
          <w:bCs/>
        </w:rPr>
        <w:tab/>
      </w:r>
      <w:r>
        <w:rPr>
          <w:rFonts w:ascii="Apple Chancery" w:hAnsi="Apple Chancery"/>
          <w:b/>
          <w:bCs/>
        </w:rPr>
        <w:tab/>
      </w:r>
      <w:r>
        <w:rPr>
          <w:rFonts w:ascii="Apple Chancery" w:hAnsi="Apple Chancery"/>
          <w:b/>
          <w:bCs/>
        </w:rPr>
        <w:tab/>
        <w:t>Fax: (406) 859-3817</w:t>
      </w:r>
    </w:p>
    <w:p w:rsidR="00F435C5" w:rsidRDefault="00F435C5" w:rsidP="00F435C5">
      <w:pPr>
        <w:rPr>
          <w:b/>
        </w:rPr>
      </w:pPr>
    </w:p>
    <w:p w:rsidR="00F435C5" w:rsidRDefault="00F435C5" w:rsidP="00F435C5">
      <w:pPr>
        <w:rPr>
          <w:b/>
        </w:rPr>
      </w:pPr>
    </w:p>
    <w:p w:rsidR="00F435C5" w:rsidRPr="00916659" w:rsidRDefault="00F435C5" w:rsidP="00F435C5">
      <w:pPr>
        <w:rPr>
          <w:b/>
          <w:color w:val="FF0000"/>
        </w:rPr>
      </w:pPr>
      <w:r>
        <w:rPr>
          <w:b/>
        </w:rPr>
        <w:t xml:space="preserve">DOCUMENT STANDARDS 7-4-2636 MCA- </w:t>
      </w:r>
      <w:r>
        <w:rPr>
          <w:b/>
          <w:color w:val="FF0000"/>
        </w:rPr>
        <w:t>new law takes effect 10-1-2011</w:t>
      </w:r>
    </w:p>
    <w:p w:rsidR="00F435C5" w:rsidRDefault="00F435C5" w:rsidP="00F435C5">
      <w:pPr>
        <w:rPr>
          <w:b/>
        </w:rPr>
      </w:pPr>
    </w:p>
    <w:p w:rsidR="00F435C5" w:rsidRDefault="00F435C5" w:rsidP="00F435C5">
      <w:r>
        <w:t xml:space="preserve">All documents that are acknowledged as having been executed </w:t>
      </w:r>
      <w:r w:rsidRPr="00EA3F0F">
        <w:rPr>
          <w:b/>
        </w:rPr>
        <w:t>prior to</w:t>
      </w:r>
      <w:r>
        <w:t xml:space="preserve"> </w:t>
      </w:r>
      <w:r>
        <w:rPr>
          <w:b/>
        </w:rPr>
        <w:t>4-28-07</w:t>
      </w:r>
      <w:r>
        <w:t xml:space="preserve"> are accepted for recording as a standard document. The fee will be $7.00 per page.</w:t>
      </w:r>
    </w:p>
    <w:p w:rsidR="00F435C5" w:rsidRDefault="00F435C5" w:rsidP="00F435C5"/>
    <w:p w:rsidR="00F435C5" w:rsidRDefault="00F435C5" w:rsidP="00F435C5">
      <w:r>
        <w:t>Unless accompanied by the fee required in 7-4-2637(2), all documents submitted for recording must meet the following requirements:</w:t>
      </w:r>
    </w:p>
    <w:p w:rsidR="00F435C5" w:rsidRDefault="00F435C5" w:rsidP="00F435C5"/>
    <w:p w:rsidR="00F435C5" w:rsidRDefault="00F435C5" w:rsidP="00F435C5">
      <w:r>
        <w:t>1.  Margin requirements are:  3” at top of 1</w:t>
      </w:r>
      <w:r w:rsidRPr="00263D65">
        <w:rPr>
          <w:vertAlign w:val="superscript"/>
        </w:rPr>
        <w:t>st</w:t>
      </w:r>
      <w:r>
        <w:t xml:space="preserve"> page, at least 1” at top of all subsequent pages, 1” at bottom of each page, </w:t>
      </w:r>
      <w:r w:rsidRPr="00263D65">
        <w:rPr>
          <w:b/>
        </w:rPr>
        <w:t>at least</w:t>
      </w:r>
      <w:r w:rsidRPr="00292D35">
        <w:rPr>
          <w:b/>
        </w:rPr>
        <w:t xml:space="preserve"> ½”</w:t>
      </w:r>
      <w:r>
        <w:t xml:space="preserve"> on sides of each page.   If an insignificant portion of the signature (such as the “tail-end” of the last letter) is in the margin the document will be standard.  If a portion of the signature in the margin is a designation such as: Sr., Jr., II, III, POA or Attorney-In-Fact; these designations will be considered significant and cause the document to be non-standard.  </w:t>
      </w:r>
    </w:p>
    <w:p w:rsidR="00F435C5" w:rsidRDefault="00F435C5" w:rsidP="00F435C5"/>
    <w:p w:rsidR="00F435C5" w:rsidRPr="00F61068" w:rsidRDefault="00F435C5" w:rsidP="00F435C5">
      <w:pPr>
        <w:rPr>
          <w:b/>
        </w:rPr>
      </w:pPr>
      <w:r>
        <w:t xml:space="preserve">2.  </w:t>
      </w:r>
      <w:r>
        <w:rPr>
          <w:b/>
        </w:rPr>
        <w:t>Include the name and mailing address of the person</w:t>
      </w:r>
      <w:r>
        <w:t xml:space="preserve"> to whom the document is to be returned in the margin in the </w:t>
      </w:r>
      <w:r>
        <w:rPr>
          <w:b/>
        </w:rPr>
        <w:t xml:space="preserve">upper left-hand </w:t>
      </w:r>
      <w:r>
        <w:t>corner of the 1</w:t>
      </w:r>
      <w:r w:rsidRPr="00263D65">
        <w:rPr>
          <w:vertAlign w:val="superscript"/>
        </w:rPr>
        <w:t>st</w:t>
      </w:r>
      <w:r>
        <w:t xml:space="preserve"> page of each document which may be legibly printed in ink or typed.  The document is non-standard if no return address is included in the upper left-hand corner of the 1</w:t>
      </w:r>
      <w:r w:rsidRPr="00AD0162">
        <w:rPr>
          <w:vertAlign w:val="superscript"/>
        </w:rPr>
        <w:t>st</w:t>
      </w:r>
      <w:r>
        <w:t xml:space="preserve"> page.  </w:t>
      </w:r>
      <w:r w:rsidRPr="00F61068">
        <w:t xml:space="preserve">Documents will be returned to the address written on the document </w:t>
      </w:r>
      <w:proofErr w:type="gramStart"/>
      <w:r w:rsidRPr="00F61068">
        <w:t>---  NO</w:t>
      </w:r>
      <w:proofErr w:type="gramEnd"/>
      <w:r w:rsidRPr="00F61068">
        <w:t xml:space="preserve"> EXCEPTIONS!</w:t>
      </w:r>
      <w:r>
        <w:rPr>
          <w:b/>
        </w:rPr>
        <w:t xml:space="preserve">  If the submitter would like the document sent to an alternate address, they MUST write it on the document BEFORE recording.</w:t>
      </w:r>
    </w:p>
    <w:p w:rsidR="00F435C5" w:rsidRDefault="00F435C5" w:rsidP="00F435C5"/>
    <w:p w:rsidR="00F435C5" w:rsidRDefault="00F435C5" w:rsidP="00F435C5">
      <w:r>
        <w:t xml:space="preserve">3.  Except for page numbers or </w:t>
      </w:r>
      <w:r w:rsidRPr="00263D65">
        <w:rPr>
          <w:b/>
        </w:rPr>
        <w:t xml:space="preserve">other </w:t>
      </w:r>
      <w:r>
        <w:rPr>
          <w:b/>
        </w:rPr>
        <w:t xml:space="preserve">administrative information or designations </w:t>
      </w:r>
      <w:r>
        <w:t xml:space="preserve">all </w:t>
      </w:r>
      <w:r w:rsidRPr="00263D65">
        <w:rPr>
          <w:b/>
        </w:rPr>
        <w:t>margins must be clear</w:t>
      </w:r>
      <w:r>
        <w:t xml:space="preserve"> of all markings.  The document standards committee has determined that other designations may be: </w:t>
      </w:r>
    </w:p>
    <w:p w:rsidR="00F435C5" w:rsidRDefault="00F435C5" w:rsidP="00F435C5">
      <w:proofErr w:type="gramStart"/>
      <w:r>
        <w:t>a</w:t>
      </w:r>
      <w:proofErr w:type="gramEnd"/>
      <w:r>
        <w:t>. form numbers</w:t>
      </w:r>
    </w:p>
    <w:p w:rsidR="00F435C5" w:rsidRPr="00263D65" w:rsidRDefault="00F435C5" w:rsidP="00F435C5">
      <w:pPr>
        <w:rPr>
          <w:b/>
        </w:rPr>
      </w:pPr>
      <w:proofErr w:type="gramStart"/>
      <w:r>
        <w:t>b</w:t>
      </w:r>
      <w:proofErr w:type="gramEnd"/>
      <w:r>
        <w:t xml:space="preserve">. form names </w:t>
      </w:r>
    </w:p>
    <w:p w:rsidR="00F435C5" w:rsidRDefault="00F435C5" w:rsidP="00F435C5">
      <w:proofErr w:type="gramStart"/>
      <w:r>
        <w:t>c</w:t>
      </w:r>
      <w:proofErr w:type="gramEnd"/>
      <w:r>
        <w:t>. last date form updated</w:t>
      </w:r>
    </w:p>
    <w:p w:rsidR="00F435C5" w:rsidRDefault="00F435C5" w:rsidP="00F435C5">
      <w:proofErr w:type="gramStart"/>
      <w:r>
        <w:t>d</w:t>
      </w:r>
      <w:proofErr w:type="gramEnd"/>
      <w:r>
        <w:t>. fax transmittal information</w:t>
      </w:r>
    </w:p>
    <w:p w:rsidR="00F435C5" w:rsidRDefault="00F435C5" w:rsidP="00F435C5">
      <w:proofErr w:type="gramStart"/>
      <w:r>
        <w:t>e</w:t>
      </w:r>
      <w:proofErr w:type="gramEnd"/>
      <w:r>
        <w:t>. tribal information</w:t>
      </w:r>
    </w:p>
    <w:p w:rsidR="00F435C5" w:rsidRDefault="00F435C5" w:rsidP="00F435C5">
      <w:proofErr w:type="gramStart"/>
      <w:r>
        <w:t>f.  Initials</w:t>
      </w:r>
      <w:proofErr w:type="gramEnd"/>
    </w:p>
    <w:p w:rsidR="00F435C5" w:rsidRDefault="00F435C5" w:rsidP="00F435C5">
      <w:r>
        <w:t>g. Barcodes</w:t>
      </w:r>
    </w:p>
    <w:p w:rsidR="00F435C5" w:rsidRDefault="00F435C5" w:rsidP="00F435C5">
      <w:proofErr w:type="gramStart"/>
      <w:r>
        <w:t>h</w:t>
      </w:r>
      <w:proofErr w:type="gramEnd"/>
      <w:r>
        <w:t>. order numbers</w:t>
      </w:r>
    </w:p>
    <w:p w:rsidR="00F435C5" w:rsidRDefault="00F435C5" w:rsidP="00F435C5">
      <w:proofErr w:type="spellStart"/>
      <w:proofErr w:type="gramStart"/>
      <w:r>
        <w:t>i</w:t>
      </w:r>
      <w:proofErr w:type="spellEnd"/>
      <w:proofErr w:type="gramEnd"/>
      <w:r>
        <w:t>. name of lending institution</w:t>
      </w:r>
    </w:p>
    <w:p w:rsidR="00F435C5" w:rsidRDefault="00F435C5" w:rsidP="00F435C5"/>
    <w:p w:rsidR="00F435C5" w:rsidRDefault="00F435C5" w:rsidP="00F435C5"/>
    <w:p w:rsidR="00F435C5" w:rsidRDefault="00F435C5" w:rsidP="00F435C5"/>
    <w:p w:rsidR="00933D39" w:rsidRDefault="00933D39" w:rsidP="00F435C5"/>
    <w:p w:rsidR="00933D39" w:rsidRDefault="00933D39" w:rsidP="00F435C5"/>
    <w:p w:rsidR="00933D39" w:rsidRDefault="00933D39" w:rsidP="00F435C5"/>
    <w:p w:rsidR="00933D39" w:rsidRDefault="00933D39" w:rsidP="00F435C5"/>
    <w:p w:rsidR="00BA6B38" w:rsidRDefault="00BA6B38" w:rsidP="00F435C5"/>
    <w:p w:rsidR="00BA6B38" w:rsidRDefault="00BA6B38" w:rsidP="00F435C5"/>
    <w:p w:rsidR="00BA6B38" w:rsidRDefault="00BA6B38" w:rsidP="00F435C5"/>
    <w:p w:rsidR="00BA6B38" w:rsidRDefault="00BA6B38" w:rsidP="00F435C5"/>
    <w:p w:rsidR="00BA6B38" w:rsidRDefault="00BA6B38" w:rsidP="00F435C5"/>
    <w:p w:rsidR="00F435C5" w:rsidRDefault="00F435C5" w:rsidP="00F435C5">
      <w:pPr>
        <w:rPr>
          <w:b/>
        </w:rPr>
      </w:pPr>
      <w:r>
        <w:t xml:space="preserve">4.  The document must be legibly printed or typed in </w:t>
      </w:r>
      <w:r>
        <w:rPr>
          <w:b/>
        </w:rPr>
        <w:t>blue or black ink</w:t>
      </w:r>
      <w:r>
        <w:t xml:space="preserve"> on white paper that is either 8 ½ x  11” or 8 ½ x 14” in size.  </w:t>
      </w:r>
      <w:r>
        <w:rPr>
          <w:b/>
        </w:rPr>
        <w:t xml:space="preserve"> Addresses of grantees must be in blue or black ink when legibly printed in.   A whole document legibly printed in blue or black ink, meeting all other document standards, is a standard document.  A whole document that is written in cursive is non-standard.</w:t>
      </w:r>
    </w:p>
    <w:p w:rsidR="00F435C5" w:rsidRDefault="00F435C5" w:rsidP="00F435C5">
      <w:pPr>
        <w:rPr>
          <w:b/>
        </w:rPr>
      </w:pPr>
    </w:p>
    <w:p w:rsidR="00F435C5" w:rsidRDefault="00F435C5" w:rsidP="00F435C5">
      <w:r>
        <w:t xml:space="preserve">5. If a document conveys an interest in real property a legal description of the property must be provided.   Documents that convey an interest in real property may include, but is not limited to, the following: </w:t>
      </w:r>
    </w:p>
    <w:p w:rsidR="00F435C5" w:rsidRDefault="00F435C5" w:rsidP="00F435C5">
      <w:pPr>
        <w:rPr>
          <w:b/>
        </w:rPr>
      </w:pPr>
      <w:r>
        <w:rPr>
          <w:b/>
        </w:rPr>
        <w:t>a</w:t>
      </w:r>
      <w:r>
        <w:t>.</w:t>
      </w:r>
      <w:r w:rsidR="002C7DB4">
        <w:rPr>
          <w:b/>
        </w:rPr>
        <w:t xml:space="preserve"> D</w:t>
      </w:r>
      <w:r>
        <w:rPr>
          <w:b/>
        </w:rPr>
        <w:t>eeds</w:t>
      </w:r>
    </w:p>
    <w:p w:rsidR="00F435C5" w:rsidRDefault="002C7DB4" w:rsidP="00F435C5">
      <w:pPr>
        <w:rPr>
          <w:b/>
        </w:rPr>
      </w:pPr>
      <w:r>
        <w:rPr>
          <w:b/>
        </w:rPr>
        <w:t>b. C</w:t>
      </w:r>
      <w:r w:rsidR="00F435C5">
        <w:rPr>
          <w:b/>
        </w:rPr>
        <w:t>ontracts for deed</w:t>
      </w:r>
    </w:p>
    <w:p w:rsidR="00F435C5" w:rsidRDefault="002C7DB4" w:rsidP="00F435C5">
      <w:pPr>
        <w:rPr>
          <w:b/>
        </w:rPr>
      </w:pPr>
      <w:r>
        <w:rPr>
          <w:b/>
        </w:rPr>
        <w:t xml:space="preserve">c. </w:t>
      </w:r>
      <w:proofErr w:type="spellStart"/>
      <w:r>
        <w:rPr>
          <w:b/>
        </w:rPr>
        <w:t>R</w:t>
      </w:r>
      <w:r w:rsidR="00F435C5">
        <w:rPr>
          <w:b/>
        </w:rPr>
        <w:t>econveyances</w:t>
      </w:r>
      <w:proofErr w:type="spellEnd"/>
      <w:r>
        <w:rPr>
          <w:b/>
        </w:rPr>
        <w:t xml:space="preserve"> and releases of mortgage</w:t>
      </w:r>
    </w:p>
    <w:p w:rsidR="00F435C5" w:rsidRDefault="00F435C5" w:rsidP="00F435C5">
      <w:pPr>
        <w:rPr>
          <w:b/>
        </w:rPr>
      </w:pPr>
      <w:proofErr w:type="gramStart"/>
      <w:r>
        <w:rPr>
          <w:b/>
        </w:rPr>
        <w:t>d</w:t>
      </w:r>
      <w:proofErr w:type="gramEnd"/>
      <w:r>
        <w:rPr>
          <w:b/>
        </w:rPr>
        <w:t>. deeds of trust/trust indentures/mortgages</w:t>
      </w:r>
    </w:p>
    <w:p w:rsidR="00F435C5" w:rsidRDefault="00F435C5" w:rsidP="00F435C5">
      <w:pPr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. easements</w:t>
      </w:r>
    </w:p>
    <w:p w:rsidR="00F435C5" w:rsidRDefault="002C7DB4" w:rsidP="00F435C5">
      <w:pPr>
        <w:rPr>
          <w:b/>
        </w:rPr>
      </w:pPr>
      <w:r>
        <w:rPr>
          <w:b/>
        </w:rPr>
        <w:t>f. D</w:t>
      </w:r>
      <w:bookmarkStart w:id="0" w:name="_GoBack"/>
      <w:bookmarkEnd w:id="0"/>
      <w:r w:rsidR="00F435C5">
        <w:rPr>
          <w:b/>
        </w:rPr>
        <w:t xml:space="preserve">eclarations of homestead </w:t>
      </w:r>
    </w:p>
    <w:p w:rsidR="002C7DB4" w:rsidRDefault="002C7DB4" w:rsidP="00F435C5">
      <w:pPr>
        <w:rPr>
          <w:b/>
        </w:rPr>
      </w:pPr>
      <w:r>
        <w:rPr>
          <w:b/>
        </w:rPr>
        <w:t>g. Assignments of mortgage and assignments of deed of trust indentures</w:t>
      </w:r>
    </w:p>
    <w:p w:rsidR="00F435C5" w:rsidRPr="00CD3196" w:rsidRDefault="002C7DB4" w:rsidP="00F435C5">
      <w:r>
        <w:rPr>
          <w:b/>
        </w:rPr>
        <w:t>h. A</w:t>
      </w:r>
      <w:r w:rsidR="00F435C5">
        <w:rPr>
          <w:b/>
        </w:rPr>
        <w:t xml:space="preserve">ny document requiring an RTC </w:t>
      </w:r>
    </w:p>
    <w:p w:rsidR="00F435C5" w:rsidRDefault="00F435C5" w:rsidP="00F435C5">
      <w:pPr>
        <w:rPr>
          <w:b/>
        </w:rPr>
      </w:pPr>
    </w:p>
    <w:p w:rsidR="00F435C5" w:rsidRDefault="00F435C5" w:rsidP="00F435C5">
      <w:smartTag w:uri="urn:schemas-microsoft-com:office:smarttags" w:element="Street">
        <w:smartTag w:uri="urn:schemas-microsoft-com:office:smarttags" w:element="address">
          <w:r>
            <w:rPr>
              <w:b/>
            </w:rPr>
            <w:t>A street</w:t>
          </w:r>
        </w:smartTag>
      </w:smartTag>
      <w:r>
        <w:rPr>
          <w:b/>
        </w:rPr>
        <w:t xml:space="preserve"> address is not a legal description of the property, nor is a deed reference.  </w:t>
      </w:r>
      <w:r>
        <w:t>The full metes and bounds description; subdivision with lot number or certificate of survey number must be included on the document.</w:t>
      </w:r>
    </w:p>
    <w:p w:rsidR="00F435C5" w:rsidRDefault="00F435C5" w:rsidP="00F435C5"/>
    <w:p w:rsidR="00F435C5" w:rsidRPr="00177975" w:rsidRDefault="00F435C5" w:rsidP="00F435C5">
      <w:pPr>
        <w:rPr>
          <w:b/>
        </w:rPr>
      </w:pPr>
      <w:r>
        <w:rPr>
          <w:b/>
        </w:rPr>
        <w:t>Substitutions of Trustee do not need a legal description, just a reference to a previously recorded document.</w:t>
      </w:r>
    </w:p>
    <w:p w:rsidR="00F435C5" w:rsidRDefault="00F435C5" w:rsidP="00F435C5">
      <w:pPr>
        <w:rPr>
          <w:b/>
        </w:rPr>
      </w:pPr>
    </w:p>
    <w:p w:rsidR="00F435C5" w:rsidRDefault="00F435C5" w:rsidP="00F435C5">
      <w:r>
        <w:t>6.  Provide the names of the parties to the conveyance on the 1</w:t>
      </w:r>
      <w:r w:rsidRPr="006E611E">
        <w:rPr>
          <w:vertAlign w:val="superscript"/>
        </w:rPr>
        <w:t>st</w:t>
      </w:r>
      <w:r>
        <w:t xml:space="preserve"> or 2</w:t>
      </w:r>
      <w:r w:rsidRPr="006E611E">
        <w:rPr>
          <w:vertAlign w:val="superscript"/>
        </w:rPr>
        <w:t>nd</w:t>
      </w:r>
      <w:r>
        <w:t xml:space="preserve"> page of any document with more than one page.</w:t>
      </w:r>
    </w:p>
    <w:p w:rsidR="00F435C5" w:rsidRDefault="00F435C5" w:rsidP="00F435C5"/>
    <w:p w:rsidR="00F435C5" w:rsidRDefault="00F435C5" w:rsidP="00F435C5">
      <w:pPr>
        <w:rPr>
          <w:b/>
        </w:rPr>
      </w:pPr>
      <w:r>
        <w:rPr>
          <w:b/>
        </w:rPr>
        <w:t xml:space="preserve"> An acknowledgment by a notary is exempt from the color and margin requirements of this section.  </w:t>
      </w:r>
      <w:r w:rsidRPr="00F61068">
        <w:rPr>
          <w:b/>
          <w:u w:val="single"/>
        </w:rPr>
        <w:t>The notary seal must be legible</w:t>
      </w:r>
      <w:r>
        <w:rPr>
          <w:b/>
        </w:rPr>
        <w:t>.</w:t>
      </w:r>
    </w:p>
    <w:p w:rsidR="00F435C5" w:rsidRDefault="00F435C5" w:rsidP="00F435C5">
      <w:pPr>
        <w:rPr>
          <w:b/>
        </w:rPr>
      </w:pPr>
    </w:p>
    <w:p w:rsidR="00F435C5" w:rsidRPr="00F61068" w:rsidRDefault="00F435C5" w:rsidP="00F435C5">
      <w:r>
        <w:rPr>
          <w:b/>
        </w:rPr>
        <w:t xml:space="preserve">An officially certified court or other government document, whether from an in-state or out-of-state office, is exempt from the provisions of this section.  </w:t>
      </w:r>
      <w:r>
        <w:t>Government documents include Department of Transportation documents and Declaration of Intent to Declare a Mobile Home real property.  These documents will always be considered standard.</w:t>
      </w:r>
    </w:p>
    <w:p w:rsidR="00F435C5" w:rsidRDefault="00F435C5" w:rsidP="00F435C5">
      <w:pPr>
        <w:rPr>
          <w:b/>
        </w:rPr>
      </w:pPr>
    </w:p>
    <w:p w:rsidR="00F435C5" w:rsidRPr="00EA3F0F" w:rsidRDefault="00F435C5" w:rsidP="00F435C5">
      <w:pPr>
        <w:rPr>
          <w:b/>
        </w:rPr>
      </w:pPr>
      <w:r>
        <w:rPr>
          <w:b/>
        </w:rPr>
        <w:t>A document which includes highlighting is a non-standard document.  Be sure to put in the note field of your program that the document contained highlights which may not show up on the scanned image and microfilm.</w:t>
      </w:r>
    </w:p>
    <w:p w:rsidR="00F435C5" w:rsidRDefault="00F435C5" w:rsidP="00F435C5">
      <w:r>
        <w:t xml:space="preserve">    </w:t>
      </w:r>
    </w:p>
    <w:p w:rsidR="00F435C5" w:rsidRPr="00AD0162" w:rsidRDefault="00F435C5" w:rsidP="00F435C5">
      <w:pPr>
        <w:rPr>
          <w:b/>
        </w:rPr>
      </w:pPr>
    </w:p>
    <w:p w:rsidR="007528D6" w:rsidRDefault="007528D6" w:rsidP="00F435C5">
      <w:pPr>
        <w:jc w:val="center"/>
        <w:rPr>
          <w:rFonts w:ascii="Apple Chancery" w:hAnsi="Apple Chancery"/>
          <w:b/>
          <w:bCs/>
        </w:rPr>
      </w:pPr>
    </w:p>
    <w:p w:rsidR="001B2EE0" w:rsidRDefault="001B2EE0" w:rsidP="00F435C5">
      <w:pPr>
        <w:jc w:val="center"/>
        <w:rPr>
          <w:rFonts w:ascii="Apple Chancery" w:hAnsi="Apple Chancery"/>
          <w:b/>
          <w:bCs/>
        </w:rPr>
      </w:pPr>
    </w:p>
    <w:p w:rsidR="001B2EE0" w:rsidRDefault="001B2EE0" w:rsidP="00F435C5">
      <w:pPr>
        <w:jc w:val="center"/>
        <w:rPr>
          <w:rFonts w:ascii="Apple Chancery" w:hAnsi="Apple Chancery"/>
          <w:b/>
          <w:bCs/>
        </w:rPr>
      </w:pPr>
    </w:p>
    <w:p w:rsidR="001B2EE0" w:rsidRDefault="001B2EE0" w:rsidP="00F435C5">
      <w:pPr>
        <w:jc w:val="center"/>
        <w:rPr>
          <w:rFonts w:ascii="Apple Chancery" w:hAnsi="Apple Chancery"/>
          <w:b/>
          <w:bCs/>
        </w:rPr>
      </w:pPr>
    </w:p>
    <w:p w:rsidR="001B2EE0" w:rsidRDefault="001B2EE0" w:rsidP="00F435C5">
      <w:pPr>
        <w:jc w:val="center"/>
        <w:rPr>
          <w:rFonts w:ascii="Apple Chancery" w:hAnsi="Apple Chancery"/>
          <w:b/>
          <w:bCs/>
        </w:rPr>
      </w:pPr>
    </w:p>
    <w:p w:rsidR="001B2EE0" w:rsidRDefault="001B2EE0" w:rsidP="00F435C5">
      <w:pPr>
        <w:jc w:val="center"/>
        <w:rPr>
          <w:rFonts w:ascii="Apple Chancery" w:hAnsi="Apple Chancery"/>
          <w:b/>
          <w:bCs/>
        </w:rPr>
      </w:pPr>
    </w:p>
    <w:p w:rsidR="001B2EE0" w:rsidRDefault="001B2EE0" w:rsidP="00F435C5">
      <w:pPr>
        <w:jc w:val="center"/>
        <w:rPr>
          <w:rFonts w:ascii="Apple Chancery" w:hAnsi="Apple Chancery"/>
          <w:b/>
          <w:bCs/>
        </w:rPr>
      </w:pPr>
    </w:p>
    <w:p w:rsidR="001B2EE0" w:rsidRDefault="001B2EE0" w:rsidP="00F435C5">
      <w:pPr>
        <w:jc w:val="center"/>
        <w:rPr>
          <w:rFonts w:ascii="Apple Chancery" w:hAnsi="Apple Chancery"/>
          <w:b/>
          <w:bCs/>
        </w:rPr>
      </w:pPr>
    </w:p>
    <w:p w:rsidR="001B2EE0" w:rsidRDefault="001B2EE0" w:rsidP="00F435C5">
      <w:pPr>
        <w:jc w:val="center"/>
        <w:rPr>
          <w:rFonts w:ascii="Apple Chancery" w:hAnsi="Apple Chancery"/>
          <w:b/>
          <w:bCs/>
        </w:rPr>
      </w:pPr>
    </w:p>
    <w:p w:rsidR="001B2EE0" w:rsidRPr="001B2EE0" w:rsidRDefault="001B2EE0" w:rsidP="001B2EE0">
      <w:pPr>
        <w:rPr>
          <w:rFonts w:ascii="Arial" w:hAnsi="Arial"/>
          <w:b/>
          <w:sz w:val="36"/>
          <w:szCs w:val="36"/>
        </w:rPr>
      </w:pPr>
      <w:r w:rsidRPr="001B2EE0">
        <w:rPr>
          <w:rFonts w:ascii="Arial" w:hAnsi="Arial"/>
          <w:b/>
          <w:sz w:val="36"/>
          <w:szCs w:val="36"/>
        </w:rPr>
        <w:t>New Recording Fees Effective October 1, 2011</w:t>
      </w:r>
    </w:p>
    <w:p w:rsidR="001B2EE0" w:rsidRPr="00CA0CEB" w:rsidRDefault="001B2EE0">
      <w:pPr>
        <w:rPr>
          <w:rFonts w:ascii="Arial" w:hAnsi="Arial"/>
          <w:b/>
        </w:rPr>
      </w:pPr>
    </w:p>
    <w:p w:rsidR="001B2EE0" w:rsidRPr="00E25534" w:rsidRDefault="001B2EE0">
      <w:pPr>
        <w:rPr>
          <w:rFonts w:ascii="Arial" w:hAnsi="Arial"/>
          <w:b/>
        </w:rPr>
      </w:pPr>
      <w:r w:rsidRPr="00E25534">
        <w:rPr>
          <w:rFonts w:ascii="Arial" w:hAnsi="Arial"/>
          <w:b/>
        </w:rPr>
        <w:t>Number of Pages</w:t>
      </w:r>
      <w:r w:rsidRPr="00E25534">
        <w:rPr>
          <w:rFonts w:ascii="Arial" w:hAnsi="Arial"/>
          <w:b/>
        </w:rPr>
        <w:tab/>
      </w:r>
      <w:r w:rsidRPr="00E25534">
        <w:rPr>
          <w:rFonts w:ascii="Arial" w:hAnsi="Arial"/>
          <w:b/>
        </w:rPr>
        <w:tab/>
        <w:t>Standard Document Fee</w:t>
      </w:r>
      <w:r w:rsidRPr="00E25534">
        <w:rPr>
          <w:rFonts w:ascii="Arial" w:hAnsi="Arial"/>
          <w:b/>
        </w:rPr>
        <w:tab/>
      </w:r>
      <w:r w:rsidRPr="00E25534">
        <w:rPr>
          <w:rFonts w:ascii="Arial" w:hAnsi="Arial"/>
          <w:b/>
        </w:rPr>
        <w:tab/>
        <w:t>Non Standard Document Fee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1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  7.00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17.00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2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14.00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24.00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3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21.00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31.00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4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28.00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38.00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5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35.00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45.00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6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42.00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52.00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7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49.00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59.00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8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56.00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66.00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9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63.00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73.00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10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70.00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80.00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11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77.00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87.00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12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84.00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94.00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13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91.00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$ 101.00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14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  98.00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$ 108.00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15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$ 105.00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$ 115.00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16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$ 112.00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$ 122.00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17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$ 119.00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$ 129.00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18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$ 126.00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$ 136.00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19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$ 133.00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$ 143.00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20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$ 140.00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$ 150.00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21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$ 147.00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$ 157.00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22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$ 154.00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$ 164.00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23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$ 161.00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$ 171.00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24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$ 168.00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$ 178.00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25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$ 175.00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$ 185.00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26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$ 182.00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$ 192.00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27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$ 189.00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$ 199.00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28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$ 196.00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$ 206.00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29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$ 203.00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$ 213.00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30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$ 210.00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$ 220.00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31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$ 217.00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$ 227.00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32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$ 224.00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$ 234.00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33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$ 231.00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$ 241.00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34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$ 238.00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$ 248.00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35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$ 245.00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$ 25</w:t>
      </w:r>
      <w:r>
        <w:rPr>
          <w:rFonts w:ascii="Arial" w:hAnsi="Arial"/>
          <w:b/>
          <w:sz w:val="28"/>
          <w:szCs w:val="28"/>
        </w:rPr>
        <w:t>5</w:t>
      </w:r>
      <w:r w:rsidRPr="00E25534">
        <w:rPr>
          <w:rFonts w:ascii="Arial" w:hAnsi="Arial"/>
          <w:b/>
          <w:sz w:val="28"/>
          <w:szCs w:val="28"/>
        </w:rPr>
        <w:t>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36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$ 252.00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$ 262.00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37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$ 259.00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$ 269.00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38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$ 266.00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$ 276.00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39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$ 273.00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$ 283.00</w:t>
      </w:r>
    </w:p>
    <w:p w:rsidR="001B2EE0" w:rsidRPr="00E25534" w:rsidRDefault="001B2EE0">
      <w:pPr>
        <w:rPr>
          <w:rFonts w:ascii="Arial" w:hAnsi="Arial"/>
          <w:b/>
          <w:sz w:val="28"/>
          <w:szCs w:val="28"/>
        </w:rPr>
      </w:pPr>
      <w:r w:rsidRPr="00E25534">
        <w:rPr>
          <w:rFonts w:ascii="Arial" w:hAnsi="Arial"/>
          <w:b/>
          <w:sz w:val="28"/>
          <w:szCs w:val="28"/>
        </w:rPr>
        <w:tab/>
        <w:t>40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$ 280.00</w:t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</w:r>
      <w:r w:rsidRPr="00E25534">
        <w:rPr>
          <w:rFonts w:ascii="Arial" w:hAnsi="Arial"/>
          <w:b/>
          <w:sz w:val="28"/>
          <w:szCs w:val="28"/>
        </w:rPr>
        <w:tab/>
        <w:t>$ 290.00</w:t>
      </w:r>
    </w:p>
    <w:p w:rsidR="001B2EE0" w:rsidRDefault="001B2EE0" w:rsidP="00F435C5">
      <w:pPr>
        <w:jc w:val="center"/>
        <w:rPr>
          <w:rFonts w:ascii="Apple Chancery" w:hAnsi="Apple Chancery"/>
          <w:b/>
          <w:bCs/>
        </w:rPr>
      </w:pPr>
    </w:p>
    <w:sectPr w:rsidR="001B2EE0" w:rsidSect="007C7090">
      <w:pgSz w:w="12240" w:h="15840"/>
      <w:pgMar w:top="432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42942"/>
    <w:rsid w:val="0000565A"/>
    <w:rsid w:val="001B2EE0"/>
    <w:rsid w:val="00200E60"/>
    <w:rsid w:val="002C7DB4"/>
    <w:rsid w:val="00642942"/>
    <w:rsid w:val="007455AA"/>
    <w:rsid w:val="007528D6"/>
    <w:rsid w:val="007C7090"/>
    <w:rsid w:val="007C7F67"/>
    <w:rsid w:val="00933D39"/>
    <w:rsid w:val="00B8588A"/>
    <w:rsid w:val="00BA6B38"/>
    <w:rsid w:val="00CB107B"/>
    <w:rsid w:val="00F4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00E6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874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Granite County Clerk and Recorder</vt:lpstr>
    </vt:vector>
  </TitlesOfParts>
  <Company>Granite County Clerk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Granite County Clerk and Recorder</dc:title>
  <dc:subject/>
  <dc:creator>Blanche</dc:creator>
  <cp:keywords/>
  <dc:description/>
  <cp:lastModifiedBy>Patti Smith</cp:lastModifiedBy>
  <cp:revision>4</cp:revision>
  <cp:lastPrinted>2011-09-21T15:39:00Z</cp:lastPrinted>
  <dcterms:created xsi:type="dcterms:W3CDTF">2011-09-14T20:58:00Z</dcterms:created>
  <dcterms:modified xsi:type="dcterms:W3CDTF">2016-09-07T14:31:00Z</dcterms:modified>
</cp:coreProperties>
</file>